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234"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2228"/>
        <w:gridCol w:w="2544"/>
        <w:gridCol w:w="2430"/>
        <w:gridCol w:w="2032"/>
      </w:tblGrid>
      <w:tr w:rsidR="00FE7569" w:rsidRPr="00611659" w14:paraId="04447CF3" w14:textId="77777777">
        <w:tc>
          <w:tcPr>
            <w:tcW w:w="9234" w:type="dxa"/>
            <w:gridSpan w:val="4"/>
            <w:tcMar>
              <w:top w:w="113" w:type="dxa"/>
            </w:tcMar>
          </w:tcPr>
          <w:p w14:paraId="1BD6388F" w14:textId="77777777" w:rsidR="00FE7569" w:rsidRPr="00047508" w:rsidRDefault="00FE7569">
            <w:pPr>
              <w:rPr>
                <w:rFonts w:ascii="Arial" w:hAnsi="Arial" w:cs="Arial"/>
                <w:b/>
                <w:bCs/>
                <w:sz w:val="20"/>
                <w:szCs w:val="20"/>
              </w:rPr>
            </w:pPr>
            <w:r>
              <w:rPr>
                <w:rFonts w:ascii="Arial" w:hAnsi="Arial"/>
                <w:b/>
                <w:sz w:val="20"/>
              </w:rPr>
              <w:t>Safety Culture Ladder NEN</w:t>
            </w:r>
          </w:p>
        </w:tc>
      </w:tr>
      <w:tr w:rsidR="00FE7569" w:rsidRPr="00611659" w14:paraId="19C8B385" w14:textId="77777777">
        <w:tc>
          <w:tcPr>
            <w:tcW w:w="2235" w:type="dxa"/>
            <w:tcMar>
              <w:top w:w="113" w:type="dxa"/>
            </w:tcMar>
          </w:tcPr>
          <w:p w14:paraId="527A3631" w14:textId="77777777" w:rsidR="00FE7569" w:rsidRPr="00047508" w:rsidRDefault="00FE7569">
            <w:pPr>
              <w:rPr>
                <w:rFonts w:ascii="Arial" w:hAnsi="Arial" w:cs="Arial"/>
                <w:sz w:val="20"/>
                <w:szCs w:val="20"/>
              </w:rPr>
            </w:pPr>
            <w:r>
              <w:rPr>
                <w:rFonts w:ascii="Arial" w:hAnsi="Arial"/>
                <w:sz w:val="20"/>
              </w:rPr>
              <w:t>Decision number:</w:t>
            </w:r>
          </w:p>
        </w:tc>
        <w:tc>
          <w:tcPr>
            <w:tcW w:w="2552" w:type="dxa"/>
            <w:tcMar>
              <w:top w:w="113" w:type="dxa"/>
            </w:tcMar>
          </w:tcPr>
          <w:p w14:paraId="357DCD51" w14:textId="2F18AB30" w:rsidR="00FE7569" w:rsidRPr="00047508" w:rsidRDefault="00FE7569">
            <w:pPr>
              <w:rPr>
                <w:rFonts w:ascii="Arial" w:hAnsi="Arial" w:cs="Arial"/>
                <w:sz w:val="20"/>
                <w:szCs w:val="20"/>
              </w:rPr>
            </w:pPr>
            <w:r>
              <w:rPr>
                <w:rFonts w:ascii="Arial" w:hAnsi="Arial"/>
                <w:sz w:val="20"/>
              </w:rPr>
              <w:t>2025-12</w:t>
            </w:r>
          </w:p>
        </w:tc>
        <w:tc>
          <w:tcPr>
            <w:tcW w:w="2409" w:type="dxa"/>
            <w:tcMar>
              <w:top w:w="113" w:type="dxa"/>
            </w:tcMar>
          </w:tcPr>
          <w:p w14:paraId="363A7C43" w14:textId="77777777" w:rsidR="00FE7569" w:rsidRPr="00047508" w:rsidRDefault="00FE7569">
            <w:pPr>
              <w:rPr>
                <w:rFonts w:ascii="Arial" w:hAnsi="Arial" w:cs="Arial"/>
                <w:sz w:val="20"/>
                <w:szCs w:val="20"/>
              </w:rPr>
            </w:pPr>
          </w:p>
        </w:tc>
        <w:tc>
          <w:tcPr>
            <w:tcW w:w="2038" w:type="dxa"/>
            <w:tcMar>
              <w:top w:w="113" w:type="dxa"/>
            </w:tcMar>
          </w:tcPr>
          <w:p w14:paraId="7CBDD607" w14:textId="77777777" w:rsidR="00FE7569" w:rsidRPr="00047508" w:rsidRDefault="00FE7569">
            <w:pPr>
              <w:rPr>
                <w:rFonts w:ascii="Arial" w:hAnsi="Arial" w:cs="Arial"/>
                <w:sz w:val="20"/>
                <w:szCs w:val="20"/>
              </w:rPr>
            </w:pPr>
          </w:p>
        </w:tc>
      </w:tr>
      <w:tr w:rsidR="00FE7569" w:rsidRPr="00611659" w14:paraId="34C8B45D" w14:textId="77777777">
        <w:tc>
          <w:tcPr>
            <w:tcW w:w="2235" w:type="dxa"/>
            <w:tcMar>
              <w:top w:w="113" w:type="dxa"/>
            </w:tcMar>
          </w:tcPr>
          <w:p w14:paraId="439BBB3A" w14:textId="77777777" w:rsidR="00FE7569" w:rsidRPr="00047508" w:rsidRDefault="00FE7569">
            <w:pPr>
              <w:rPr>
                <w:rFonts w:ascii="Arial" w:hAnsi="Arial" w:cs="Arial"/>
                <w:sz w:val="20"/>
                <w:szCs w:val="20"/>
              </w:rPr>
            </w:pPr>
            <w:r>
              <w:rPr>
                <w:rFonts w:ascii="Arial" w:hAnsi="Arial"/>
                <w:sz w:val="20"/>
              </w:rPr>
              <w:t>Subject:</w:t>
            </w:r>
          </w:p>
        </w:tc>
        <w:tc>
          <w:tcPr>
            <w:tcW w:w="6999" w:type="dxa"/>
            <w:gridSpan w:val="3"/>
            <w:tcMar>
              <w:top w:w="113" w:type="dxa"/>
            </w:tcMar>
          </w:tcPr>
          <w:p w14:paraId="486A659B" w14:textId="456D63DE" w:rsidR="00FE7569" w:rsidRPr="00047508" w:rsidRDefault="004E2DEB">
            <w:pPr>
              <w:rPr>
                <w:rFonts w:ascii="Arial" w:hAnsi="Arial" w:cs="Arial"/>
                <w:sz w:val="20"/>
                <w:szCs w:val="20"/>
              </w:rPr>
            </w:pPr>
            <w:r>
              <w:rPr>
                <w:rFonts w:ascii="Arial" w:hAnsi="Arial"/>
                <w:sz w:val="20"/>
              </w:rPr>
              <w:t>Revision of decision 'SCL exemption - internal auditor training'</w:t>
            </w:r>
          </w:p>
        </w:tc>
      </w:tr>
      <w:tr w:rsidR="00FE7569" w:rsidRPr="00611659" w14:paraId="785BD623" w14:textId="77777777">
        <w:tc>
          <w:tcPr>
            <w:tcW w:w="2235" w:type="dxa"/>
            <w:tcBorders>
              <w:bottom w:val="single" w:sz="4" w:space="0" w:color="auto"/>
            </w:tcBorders>
            <w:tcMar>
              <w:top w:w="113" w:type="dxa"/>
            </w:tcMar>
          </w:tcPr>
          <w:p w14:paraId="12BC3173" w14:textId="77777777" w:rsidR="00FE7569" w:rsidRPr="00047508" w:rsidRDefault="00FE7569">
            <w:pPr>
              <w:rPr>
                <w:rFonts w:ascii="Arial" w:hAnsi="Arial" w:cs="Arial"/>
                <w:sz w:val="20"/>
                <w:szCs w:val="20"/>
              </w:rPr>
            </w:pPr>
            <w:r>
              <w:rPr>
                <w:rFonts w:ascii="Arial" w:hAnsi="Arial"/>
                <w:sz w:val="20"/>
              </w:rPr>
              <w:t>Date:</w:t>
            </w:r>
          </w:p>
        </w:tc>
        <w:tc>
          <w:tcPr>
            <w:tcW w:w="2552" w:type="dxa"/>
            <w:tcBorders>
              <w:bottom w:val="single" w:sz="4" w:space="0" w:color="auto"/>
            </w:tcBorders>
            <w:tcMar>
              <w:top w:w="113" w:type="dxa"/>
            </w:tcMar>
          </w:tcPr>
          <w:p w14:paraId="58C1BE33" w14:textId="66B2D5A4" w:rsidR="00FE7569" w:rsidRPr="00047508" w:rsidRDefault="00FE7569">
            <w:pPr>
              <w:rPr>
                <w:rFonts w:ascii="Arial" w:hAnsi="Arial" w:cs="Arial"/>
                <w:sz w:val="20"/>
                <w:szCs w:val="20"/>
              </w:rPr>
            </w:pPr>
            <w:r>
              <w:rPr>
                <w:rFonts w:ascii="Arial" w:hAnsi="Arial"/>
                <w:sz w:val="20"/>
              </w:rPr>
              <w:t>24.9.25</w:t>
            </w:r>
          </w:p>
        </w:tc>
        <w:tc>
          <w:tcPr>
            <w:tcW w:w="2409" w:type="dxa"/>
            <w:tcBorders>
              <w:bottom w:val="single" w:sz="4" w:space="0" w:color="auto"/>
            </w:tcBorders>
            <w:tcMar>
              <w:top w:w="113" w:type="dxa"/>
            </w:tcMar>
          </w:tcPr>
          <w:p w14:paraId="1BAA97ED" w14:textId="77777777" w:rsidR="00FE7569" w:rsidRPr="00047508" w:rsidRDefault="00FE7569">
            <w:pPr>
              <w:rPr>
                <w:rFonts w:ascii="Arial" w:hAnsi="Arial" w:cs="Arial"/>
                <w:sz w:val="20"/>
                <w:szCs w:val="20"/>
              </w:rPr>
            </w:pPr>
          </w:p>
        </w:tc>
        <w:tc>
          <w:tcPr>
            <w:tcW w:w="2038" w:type="dxa"/>
            <w:tcBorders>
              <w:bottom w:val="single" w:sz="4" w:space="0" w:color="auto"/>
            </w:tcBorders>
            <w:tcMar>
              <w:top w:w="113" w:type="dxa"/>
            </w:tcMar>
          </w:tcPr>
          <w:p w14:paraId="7A931A10" w14:textId="77777777" w:rsidR="00FE7569" w:rsidRPr="00047508" w:rsidRDefault="00FE7569">
            <w:pPr>
              <w:rPr>
                <w:rFonts w:ascii="Arial" w:hAnsi="Arial" w:cs="Arial"/>
                <w:sz w:val="20"/>
                <w:szCs w:val="20"/>
              </w:rPr>
            </w:pPr>
          </w:p>
        </w:tc>
      </w:tr>
      <w:tr w:rsidR="00FE7569" w:rsidRPr="00611659" w14:paraId="0095C0E2" w14:textId="77777777">
        <w:trPr>
          <w:trHeight w:val="596"/>
        </w:trPr>
        <w:tc>
          <w:tcPr>
            <w:tcW w:w="2235" w:type="dxa"/>
            <w:tcBorders>
              <w:top w:val="single" w:sz="4" w:space="0" w:color="auto"/>
              <w:bottom w:val="single" w:sz="4" w:space="0" w:color="auto"/>
            </w:tcBorders>
            <w:tcMar>
              <w:top w:w="113" w:type="dxa"/>
            </w:tcMar>
            <w:vAlign w:val="center"/>
          </w:tcPr>
          <w:p w14:paraId="76330681" w14:textId="77777777" w:rsidR="00FE7569" w:rsidRPr="00047508" w:rsidRDefault="00FE7569">
            <w:pPr>
              <w:rPr>
                <w:rFonts w:ascii="Arial" w:hAnsi="Arial" w:cs="Arial"/>
                <w:sz w:val="20"/>
                <w:szCs w:val="20"/>
              </w:rPr>
            </w:pPr>
            <w:r>
              <w:rPr>
                <w:rFonts w:ascii="Arial" w:hAnsi="Arial"/>
                <w:sz w:val="20"/>
              </w:rPr>
              <w:t>Implementation:</w:t>
            </w:r>
          </w:p>
        </w:tc>
        <w:tc>
          <w:tcPr>
            <w:tcW w:w="2552" w:type="dxa"/>
            <w:tcBorders>
              <w:top w:val="single" w:sz="4" w:space="0" w:color="auto"/>
              <w:bottom w:val="single" w:sz="4" w:space="0" w:color="auto"/>
              <w:right w:val="single" w:sz="4" w:space="0" w:color="auto"/>
            </w:tcBorders>
            <w:tcMar>
              <w:top w:w="113" w:type="dxa"/>
            </w:tcMar>
            <w:vAlign w:val="center"/>
          </w:tcPr>
          <w:p w14:paraId="1E8D8491" w14:textId="612B6E8E" w:rsidR="00FE7569" w:rsidRPr="00047508" w:rsidRDefault="00792F75">
            <w:pPr>
              <w:ind w:right="-150"/>
              <w:rPr>
                <w:rFonts w:ascii="Arial" w:hAnsi="Arial" w:cs="Arial"/>
                <w:sz w:val="20"/>
                <w:szCs w:val="20"/>
              </w:rPr>
            </w:pPr>
            <w:r>
              <w:rPr>
                <w:rFonts w:ascii="Arial" w:hAnsi="Arial"/>
                <w:sz w:val="20"/>
              </w:rPr>
              <w:t>Publication on website and in interpretation document for SCL 2.0</w:t>
            </w:r>
          </w:p>
        </w:tc>
        <w:tc>
          <w:tcPr>
            <w:tcW w:w="2438" w:type="dxa"/>
            <w:tcBorders>
              <w:top w:val="single" w:sz="4" w:space="0" w:color="auto"/>
              <w:left w:val="single" w:sz="4" w:space="0" w:color="auto"/>
              <w:bottom w:val="single" w:sz="4" w:space="0" w:color="auto"/>
            </w:tcBorders>
            <w:tcMar>
              <w:top w:w="113" w:type="dxa"/>
            </w:tcMar>
            <w:vAlign w:val="center"/>
          </w:tcPr>
          <w:p w14:paraId="36237256" w14:textId="77777777" w:rsidR="00FE7569" w:rsidRPr="00047508" w:rsidRDefault="00FE7569">
            <w:pPr>
              <w:rPr>
                <w:rFonts w:ascii="Arial" w:hAnsi="Arial" w:cs="Arial"/>
                <w:sz w:val="20"/>
                <w:szCs w:val="20"/>
              </w:rPr>
            </w:pPr>
            <w:r>
              <w:rPr>
                <w:rFonts w:ascii="Arial" w:hAnsi="Arial"/>
                <w:sz w:val="20"/>
              </w:rPr>
              <w:t>Commencement date:</w:t>
            </w:r>
          </w:p>
        </w:tc>
        <w:tc>
          <w:tcPr>
            <w:tcW w:w="2009" w:type="dxa"/>
            <w:tcBorders>
              <w:top w:val="single" w:sz="4" w:space="0" w:color="auto"/>
              <w:bottom w:val="single" w:sz="4" w:space="0" w:color="auto"/>
            </w:tcBorders>
            <w:tcMar>
              <w:top w:w="113" w:type="dxa"/>
            </w:tcMar>
            <w:vAlign w:val="center"/>
          </w:tcPr>
          <w:p w14:paraId="08E627E9" w14:textId="77DD1EBE" w:rsidR="00FE7569" w:rsidRPr="00047508" w:rsidRDefault="00147C9B">
            <w:pPr>
              <w:rPr>
                <w:rFonts w:ascii="Arial" w:hAnsi="Arial" w:cs="Arial"/>
                <w:sz w:val="20"/>
                <w:szCs w:val="20"/>
              </w:rPr>
            </w:pPr>
            <w:r>
              <w:rPr>
                <w:rFonts w:ascii="Arial" w:hAnsi="Arial"/>
                <w:sz w:val="20"/>
              </w:rPr>
              <w:t xml:space="preserve">With immediate effect </w:t>
            </w:r>
          </w:p>
        </w:tc>
      </w:tr>
    </w:tbl>
    <w:p w14:paraId="7EE34978" w14:textId="77777777" w:rsidR="00611D15" w:rsidRDefault="00611D15" w:rsidP="00611D15"/>
    <w:p w14:paraId="084D0785" w14:textId="77777777" w:rsidR="000C371A" w:rsidRPr="007F4010" w:rsidRDefault="000C371A" w:rsidP="000C371A">
      <w:pPr>
        <w:spacing w:after="0"/>
        <w:rPr>
          <w:color w:val="009691"/>
        </w:rPr>
      </w:pPr>
      <w:r>
        <w:rPr>
          <w:color w:val="009691"/>
        </w:rPr>
        <w:t>Background:</w:t>
      </w:r>
    </w:p>
    <w:p w14:paraId="3FB013A6" w14:textId="2CE83CE8" w:rsidR="008152D5" w:rsidRDefault="0041451D" w:rsidP="000503D2">
      <w:pPr>
        <w:spacing w:after="0"/>
      </w:pPr>
      <w:r>
        <w:t>The role of ‘internal auditor’ was introduced together with the introduction of the SCL product ‘SCL Light for small organisations’.</w:t>
      </w:r>
    </w:p>
    <w:p w14:paraId="3D572058" w14:textId="77777777" w:rsidR="006C77A0" w:rsidRDefault="006C77A0" w:rsidP="000503D2">
      <w:pPr>
        <w:spacing w:after="0"/>
      </w:pPr>
    </w:p>
    <w:p w14:paraId="3CA06603" w14:textId="16045EF7" w:rsidR="008152D5" w:rsidRDefault="00D17771" w:rsidP="000503D2">
      <w:pPr>
        <w:spacing w:after="0"/>
      </w:pPr>
      <w:r>
        <w:t>Various requirements are imposed on an internal auditor of a small organisation (or anyone hired by a small organisation to fulfil this purpose). One such requirement is that they must have completed the NEN training course for internal auditors, ‘Testing internal safety awareness with the Safety Culture Ladder’.</w:t>
      </w:r>
    </w:p>
    <w:p w14:paraId="105C03C0" w14:textId="77777777" w:rsidR="00E13450" w:rsidRDefault="00E13450" w:rsidP="000503D2">
      <w:pPr>
        <w:spacing w:after="0"/>
      </w:pPr>
    </w:p>
    <w:p w14:paraId="2DF372F2" w14:textId="77777777" w:rsidR="001363CB" w:rsidRDefault="004E7CCD" w:rsidP="000503D2">
      <w:pPr>
        <w:spacing w:after="0"/>
      </w:pPr>
      <w:r>
        <w:t>In the spring of 2025, the CoE decided on the options for an exemption from this training. This was stipulated in Decision 2025-11.</w:t>
      </w:r>
    </w:p>
    <w:p w14:paraId="22F9A51C" w14:textId="5AE69C6D" w:rsidR="00E13450" w:rsidRDefault="00D40630" w:rsidP="000503D2">
      <w:pPr>
        <w:spacing w:after="0"/>
      </w:pPr>
      <w:r>
        <w:t>In response to questions received by NEN, the aforementioned decision has been amended.</w:t>
      </w:r>
    </w:p>
    <w:p w14:paraId="284B757B" w14:textId="77777777" w:rsidR="00035827" w:rsidRDefault="00035827" w:rsidP="000503D2">
      <w:pPr>
        <w:spacing w:after="0"/>
      </w:pPr>
    </w:p>
    <w:p w14:paraId="3D43F18F" w14:textId="4AB8795E" w:rsidR="00035827" w:rsidRPr="00827ACC" w:rsidRDefault="006D63AF" w:rsidP="000503D2">
      <w:pPr>
        <w:spacing w:after="0"/>
        <w:rPr>
          <w:color w:val="009691"/>
        </w:rPr>
      </w:pPr>
      <w:r>
        <w:rPr>
          <w:color w:val="009691"/>
        </w:rPr>
        <w:t>Consideration:</w:t>
      </w:r>
    </w:p>
    <w:p w14:paraId="39D9557E" w14:textId="7A37B9EC" w:rsidR="001C5CE4" w:rsidRDefault="00017B43" w:rsidP="000503D2">
      <w:pPr>
        <w:spacing w:after="0"/>
      </w:pPr>
      <w:r>
        <w:t>The CoE took note of the considerations below in order to broaden the exemption options.</w:t>
      </w:r>
    </w:p>
    <w:p w14:paraId="1BC6A21E" w14:textId="77777777" w:rsidR="005A7A31" w:rsidRDefault="005A7A31" w:rsidP="005A7A31">
      <w:pPr>
        <w:spacing w:after="0"/>
        <w:ind w:left="284" w:hanging="284"/>
      </w:pPr>
      <w:r>
        <w:t>•</w:t>
      </w:r>
      <w:r>
        <w:tab/>
        <w:t>An experienced consultant/auditor who has been advising small organisations for a long time, who has completed the two-day auditor training course and now, as a self-employed person, would still be required to complete the internal auditor training course.</w:t>
      </w:r>
    </w:p>
    <w:p w14:paraId="2E462314" w14:textId="77777777" w:rsidR="005A7A31" w:rsidRDefault="005A7A31" w:rsidP="005A7A31">
      <w:pPr>
        <w:spacing w:after="0"/>
        <w:ind w:left="284" w:hanging="284"/>
      </w:pPr>
      <w:r>
        <w:t>•</w:t>
      </w:r>
      <w:r>
        <w:tab/>
        <w:t>A participant who had already registered for the two-day auditor training course, but has now decided to do the internal auditor training course instead (which they regret).</w:t>
      </w:r>
    </w:p>
    <w:p w14:paraId="53BC895C" w14:textId="77777777" w:rsidR="005A7A31" w:rsidRDefault="005A7A31" w:rsidP="005A7A31">
      <w:pPr>
        <w:spacing w:after="0"/>
        <w:ind w:left="284" w:hanging="284"/>
      </w:pPr>
      <w:r>
        <w:t>•</w:t>
      </w:r>
      <w:r>
        <w:tab/>
        <w:t>The decision is significant when the content and level of the training courses are considered: two-day auditor training (= two days) and internal auditor training (= two half-days).</w:t>
      </w:r>
    </w:p>
    <w:p w14:paraId="02EE7920" w14:textId="77777777" w:rsidR="005A7A31" w:rsidRDefault="005A7A31" w:rsidP="00483EB2">
      <w:pPr>
        <w:spacing w:after="0"/>
        <w:ind w:left="284"/>
      </w:pPr>
      <w:r>
        <w:t>During the two-day auditor training course, participants receive significantly more information and focus much more on conducting the audit in general. From this perspective, it is also worth noting that candidates for the two-day auditor training course are not exempt from the internal auditor training course and are still required to complete the training in order to be allowed to conduct an internal audit. If you take the internal auditor training after completing a two-day training course, then in actuality, everything has already been covered at a more intensive level.</w:t>
      </w:r>
    </w:p>
    <w:p w14:paraId="11A966EB" w14:textId="77777777" w:rsidR="005A7A31" w:rsidRDefault="005A7A31" w:rsidP="005A7A31">
      <w:pPr>
        <w:spacing w:after="0"/>
      </w:pPr>
    </w:p>
    <w:p w14:paraId="0C0396AE" w14:textId="218FB850" w:rsidR="005A7A31" w:rsidRDefault="005A7A31" w:rsidP="000503D2">
      <w:pPr>
        <w:spacing w:after="0"/>
      </w:pPr>
      <w:r>
        <w:t>Another consequence of the current decision by the CoE is that trainers of the internal auditor training course are being confronted with this during the training sessions (indignation among participants and, due to the decision taken, there is a large difference in participant levels and motivation).</w:t>
      </w:r>
    </w:p>
    <w:p w14:paraId="376C6E68" w14:textId="77777777" w:rsidR="005A7A31" w:rsidRDefault="005A7A31" w:rsidP="000503D2">
      <w:pPr>
        <w:spacing w:after="0"/>
      </w:pPr>
    </w:p>
    <w:p w14:paraId="4C3AD0B7" w14:textId="77777777" w:rsidR="005A7A31" w:rsidRDefault="005A7A31" w:rsidP="000503D2">
      <w:pPr>
        <w:spacing w:after="0"/>
      </w:pPr>
    </w:p>
    <w:p w14:paraId="66F04F93" w14:textId="77777777" w:rsidR="005A7A31" w:rsidRDefault="005A7A31" w:rsidP="000503D2">
      <w:pPr>
        <w:spacing w:after="0"/>
      </w:pPr>
    </w:p>
    <w:p w14:paraId="7CF392E8" w14:textId="3F19EF16" w:rsidR="000C371A" w:rsidRPr="00A46721" w:rsidRDefault="000C371A" w:rsidP="000C371A">
      <w:pPr>
        <w:spacing w:after="0"/>
        <w:rPr>
          <w:color w:val="009691"/>
        </w:rPr>
      </w:pPr>
      <w:r>
        <w:rPr>
          <w:color w:val="009691"/>
        </w:rPr>
        <w:t>Decision:</w:t>
      </w:r>
    </w:p>
    <w:p w14:paraId="2757C3FF" w14:textId="27EF876D" w:rsidR="000C371A" w:rsidRDefault="000C371A" w:rsidP="000C371A">
      <w:pPr>
        <w:spacing w:after="0"/>
      </w:pPr>
      <w:r>
        <w:t>The SCL CoE has taken the following decision:</w:t>
      </w:r>
    </w:p>
    <w:p w14:paraId="67A0888C" w14:textId="405C3B60" w:rsidR="00CB70CB" w:rsidRDefault="00525C8B" w:rsidP="00CB70CB">
      <w:pPr>
        <w:spacing w:after="0"/>
      </w:pPr>
      <w:r>
        <w:t>The exemption stipulated in Decision 2025-11 regarding training for internal auditors (or contracted internal auditors) for SCL Light for small organisations is being extended to individuals who have completed the two-day SCL 2.0 auditor training course.</w:t>
      </w:r>
    </w:p>
    <w:p w14:paraId="44EBA7B8" w14:textId="77777777" w:rsidR="00935FE3" w:rsidRDefault="00935FE3" w:rsidP="000C371A">
      <w:pPr>
        <w:spacing w:after="0"/>
      </w:pPr>
    </w:p>
    <w:p w14:paraId="29A26113" w14:textId="77777777" w:rsidR="00935FE3" w:rsidRDefault="00935FE3" w:rsidP="000C371A">
      <w:pPr>
        <w:spacing w:after="0"/>
      </w:pPr>
    </w:p>
    <w:p w14:paraId="339DF221" w14:textId="77777777" w:rsidR="00935FE3" w:rsidRDefault="00935FE3" w:rsidP="000C371A">
      <w:pPr>
        <w:spacing w:after="0"/>
      </w:pPr>
    </w:p>
    <w:p w14:paraId="4538DA46" w14:textId="77777777" w:rsidR="00935FE3" w:rsidRDefault="00935FE3" w:rsidP="000C371A">
      <w:pPr>
        <w:spacing w:after="0"/>
      </w:pPr>
    </w:p>
    <w:p w14:paraId="62DA24AF" w14:textId="77777777" w:rsidR="00935FE3" w:rsidRDefault="00935FE3" w:rsidP="000C371A">
      <w:pPr>
        <w:spacing w:after="0"/>
      </w:pPr>
    </w:p>
    <w:p w14:paraId="4DACC024" w14:textId="77777777" w:rsidR="00935FE3" w:rsidRDefault="00935FE3" w:rsidP="000C371A">
      <w:pPr>
        <w:spacing w:after="0"/>
      </w:pPr>
    </w:p>
    <w:sectPr w:rsidR="00935FE3">
      <w:head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E3BCDA" w14:textId="77777777" w:rsidR="000B510D" w:rsidRDefault="000B510D" w:rsidP="00631320">
      <w:pPr>
        <w:spacing w:after="0" w:line="240" w:lineRule="auto"/>
      </w:pPr>
      <w:r>
        <w:separator/>
      </w:r>
    </w:p>
  </w:endnote>
  <w:endnote w:type="continuationSeparator" w:id="0">
    <w:p w14:paraId="62B468B3" w14:textId="77777777" w:rsidR="000B510D" w:rsidRDefault="000B510D" w:rsidP="00631320">
      <w:pPr>
        <w:spacing w:after="0" w:line="240" w:lineRule="auto"/>
      </w:pPr>
      <w:r>
        <w:continuationSeparator/>
      </w:r>
    </w:p>
  </w:endnote>
  <w:endnote w:type="continuationNotice" w:id="1">
    <w:p w14:paraId="250BB4A2" w14:textId="77777777" w:rsidR="000B510D" w:rsidRDefault="000B510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7A990F" w14:textId="77777777" w:rsidR="000B510D" w:rsidRDefault="000B510D" w:rsidP="00631320">
      <w:pPr>
        <w:spacing w:after="0" w:line="240" w:lineRule="auto"/>
      </w:pPr>
      <w:r>
        <w:separator/>
      </w:r>
    </w:p>
  </w:footnote>
  <w:footnote w:type="continuationSeparator" w:id="0">
    <w:p w14:paraId="50622E04" w14:textId="77777777" w:rsidR="000B510D" w:rsidRDefault="000B510D" w:rsidP="00631320">
      <w:pPr>
        <w:spacing w:after="0" w:line="240" w:lineRule="auto"/>
      </w:pPr>
      <w:r>
        <w:continuationSeparator/>
      </w:r>
    </w:p>
  </w:footnote>
  <w:footnote w:type="continuationNotice" w:id="1">
    <w:p w14:paraId="5B7778A1" w14:textId="77777777" w:rsidR="000B510D" w:rsidRDefault="000B510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138647" w14:textId="5C8ADA84" w:rsidR="00631320" w:rsidRDefault="00631320" w:rsidP="00631320">
    <w:pPr>
      <w:pStyle w:val="Koptekst"/>
      <w:jc w:val="right"/>
    </w:pPr>
    <w:r>
      <w:rPr>
        <w:noProof/>
      </w:rPr>
      <w:drawing>
        <wp:inline distT="0" distB="0" distL="0" distR="0" wp14:anchorId="55EDE028" wp14:editId="21BD2F15">
          <wp:extent cx="2971800" cy="298450"/>
          <wp:effectExtent l="0" t="0" r="0" b="6350"/>
          <wp:docPr id="109689580" name="Afbeelding 1" descr="Afbeelding met schermopname, Graphics, Lettertype, ontwerp&#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689580" name="Afbeelding 1" descr="Afbeelding met schermopname, Graphics, Lettertype, ontwerp&#10;&#10;Automatisch gegenereerde beschrijving"/>
                  <pic:cNvPicPr>
                    <a:picLocks noChangeAspect="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971800" cy="2984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60D6F"/>
    <w:multiLevelType w:val="hybridMultilevel"/>
    <w:tmpl w:val="F7CC099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0D7A2AB8"/>
    <w:multiLevelType w:val="hybridMultilevel"/>
    <w:tmpl w:val="6C8E0A9E"/>
    <w:lvl w:ilvl="0" w:tplc="63A87B5E">
      <w:numFmt w:val="bullet"/>
      <w:lvlText w:val="-"/>
      <w:lvlJc w:val="left"/>
      <w:pPr>
        <w:ind w:left="786" w:hanging="360"/>
      </w:pPr>
      <w:rPr>
        <w:rFonts w:ascii="Aptos" w:eastAsiaTheme="minorHAnsi" w:hAnsi="Aptos" w:cstheme="minorBidi" w:hint="default"/>
      </w:rPr>
    </w:lvl>
    <w:lvl w:ilvl="1" w:tplc="04130003" w:tentative="1">
      <w:start w:val="1"/>
      <w:numFmt w:val="bullet"/>
      <w:lvlText w:val="o"/>
      <w:lvlJc w:val="left"/>
      <w:pPr>
        <w:ind w:left="1506" w:hanging="360"/>
      </w:pPr>
      <w:rPr>
        <w:rFonts w:ascii="Courier New" w:hAnsi="Courier New" w:cs="Courier New" w:hint="default"/>
      </w:rPr>
    </w:lvl>
    <w:lvl w:ilvl="2" w:tplc="04130005" w:tentative="1">
      <w:start w:val="1"/>
      <w:numFmt w:val="bullet"/>
      <w:lvlText w:val=""/>
      <w:lvlJc w:val="left"/>
      <w:pPr>
        <w:ind w:left="2226" w:hanging="360"/>
      </w:pPr>
      <w:rPr>
        <w:rFonts w:ascii="Wingdings" w:hAnsi="Wingdings" w:hint="default"/>
      </w:rPr>
    </w:lvl>
    <w:lvl w:ilvl="3" w:tplc="04130001" w:tentative="1">
      <w:start w:val="1"/>
      <w:numFmt w:val="bullet"/>
      <w:lvlText w:val=""/>
      <w:lvlJc w:val="left"/>
      <w:pPr>
        <w:ind w:left="2946" w:hanging="360"/>
      </w:pPr>
      <w:rPr>
        <w:rFonts w:ascii="Symbol" w:hAnsi="Symbol" w:hint="default"/>
      </w:rPr>
    </w:lvl>
    <w:lvl w:ilvl="4" w:tplc="04130003" w:tentative="1">
      <w:start w:val="1"/>
      <w:numFmt w:val="bullet"/>
      <w:lvlText w:val="o"/>
      <w:lvlJc w:val="left"/>
      <w:pPr>
        <w:ind w:left="3666" w:hanging="360"/>
      </w:pPr>
      <w:rPr>
        <w:rFonts w:ascii="Courier New" w:hAnsi="Courier New" w:cs="Courier New" w:hint="default"/>
      </w:rPr>
    </w:lvl>
    <w:lvl w:ilvl="5" w:tplc="04130005" w:tentative="1">
      <w:start w:val="1"/>
      <w:numFmt w:val="bullet"/>
      <w:lvlText w:val=""/>
      <w:lvlJc w:val="left"/>
      <w:pPr>
        <w:ind w:left="4386" w:hanging="360"/>
      </w:pPr>
      <w:rPr>
        <w:rFonts w:ascii="Wingdings" w:hAnsi="Wingdings" w:hint="default"/>
      </w:rPr>
    </w:lvl>
    <w:lvl w:ilvl="6" w:tplc="04130001" w:tentative="1">
      <w:start w:val="1"/>
      <w:numFmt w:val="bullet"/>
      <w:lvlText w:val=""/>
      <w:lvlJc w:val="left"/>
      <w:pPr>
        <w:ind w:left="5106" w:hanging="360"/>
      </w:pPr>
      <w:rPr>
        <w:rFonts w:ascii="Symbol" w:hAnsi="Symbol" w:hint="default"/>
      </w:rPr>
    </w:lvl>
    <w:lvl w:ilvl="7" w:tplc="04130003" w:tentative="1">
      <w:start w:val="1"/>
      <w:numFmt w:val="bullet"/>
      <w:lvlText w:val="o"/>
      <w:lvlJc w:val="left"/>
      <w:pPr>
        <w:ind w:left="5826" w:hanging="360"/>
      </w:pPr>
      <w:rPr>
        <w:rFonts w:ascii="Courier New" w:hAnsi="Courier New" w:cs="Courier New" w:hint="default"/>
      </w:rPr>
    </w:lvl>
    <w:lvl w:ilvl="8" w:tplc="04130005" w:tentative="1">
      <w:start w:val="1"/>
      <w:numFmt w:val="bullet"/>
      <w:lvlText w:val=""/>
      <w:lvlJc w:val="left"/>
      <w:pPr>
        <w:ind w:left="6546" w:hanging="360"/>
      </w:pPr>
      <w:rPr>
        <w:rFonts w:ascii="Wingdings" w:hAnsi="Wingdings" w:hint="default"/>
      </w:rPr>
    </w:lvl>
  </w:abstractNum>
  <w:abstractNum w:abstractNumId="2" w15:restartNumberingAfterBreak="0">
    <w:nsid w:val="168932B6"/>
    <w:multiLevelType w:val="hybridMultilevel"/>
    <w:tmpl w:val="42C619C2"/>
    <w:lvl w:ilvl="0" w:tplc="1758F898">
      <w:start w:val="1"/>
      <w:numFmt w:val="lowerLetter"/>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 w15:restartNumberingAfterBreak="0">
    <w:nsid w:val="1699222E"/>
    <w:multiLevelType w:val="hybridMultilevel"/>
    <w:tmpl w:val="F7CC099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75C2FDB"/>
    <w:multiLevelType w:val="hybridMultilevel"/>
    <w:tmpl w:val="785E3968"/>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5" w15:restartNumberingAfterBreak="0">
    <w:nsid w:val="2A571957"/>
    <w:multiLevelType w:val="hybridMultilevel"/>
    <w:tmpl w:val="BE72C53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2DB40AA5"/>
    <w:multiLevelType w:val="hybridMultilevel"/>
    <w:tmpl w:val="35FC83B0"/>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7" w15:restartNumberingAfterBreak="0">
    <w:nsid w:val="44EB1D33"/>
    <w:multiLevelType w:val="hybridMultilevel"/>
    <w:tmpl w:val="D326ECD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503D756E"/>
    <w:multiLevelType w:val="hybridMultilevel"/>
    <w:tmpl w:val="B900B938"/>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9" w15:restartNumberingAfterBreak="0">
    <w:nsid w:val="54CB2AFC"/>
    <w:multiLevelType w:val="hybridMultilevel"/>
    <w:tmpl w:val="7920326E"/>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0" w15:restartNumberingAfterBreak="0">
    <w:nsid w:val="5DA124B3"/>
    <w:multiLevelType w:val="hybridMultilevel"/>
    <w:tmpl w:val="669A93CA"/>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1" w15:restartNumberingAfterBreak="0">
    <w:nsid w:val="6E1B4606"/>
    <w:multiLevelType w:val="hybridMultilevel"/>
    <w:tmpl w:val="53263164"/>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7AEC03FF"/>
    <w:multiLevelType w:val="hybridMultilevel"/>
    <w:tmpl w:val="5B1233A0"/>
    <w:lvl w:ilvl="0" w:tplc="1D023486">
      <w:start w:val="1"/>
      <w:numFmt w:val="lowerLetter"/>
      <w:lvlText w:val="%1)"/>
      <w:lvlJc w:val="left"/>
      <w:pPr>
        <w:ind w:left="1069" w:hanging="360"/>
      </w:pPr>
      <w:rPr>
        <w:rFonts w:hint="default"/>
      </w:rPr>
    </w:lvl>
    <w:lvl w:ilvl="1" w:tplc="04130019" w:tentative="1">
      <w:start w:val="1"/>
      <w:numFmt w:val="lowerLetter"/>
      <w:lvlText w:val="%2."/>
      <w:lvlJc w:val="left"/>
      <w:pPr>
        <w:ind w:left="1789" w:hanging="360"/>
      </w:pPr>
    </w:lvl>
    <w:lvl w:ilvl="2" w:tplc="0413001B" w:tentative="1">
      <w:start w:val="1"/>
      <w:numFmt w:val="lowerRoman"/>
      <w:lvlText w:val="%3."/>
      <w:lvlJc w:val="right"/>
      <w:pPr>
        <w:ind w:left="2509" w:hanging="180"/>
      </w:pPr>
    </w:lvl>
    <w:lvl w:ilvl="3" w:tplc="0413000F" w:tentative="1">
      <w:start w:val="1"/>
      <w:numFmt w:val="decimal"/>
      <w:lvlText w:val="%4."/>
      <w:lvlJc w:val="left"/>
      <w:pPr>
        <w:ind w:left="3229" w:hanging="360"/>
      </w:pPr>
    </w:lvl>
    <w:lvl w:ilvl="4" w:tplc="04130019" w:tentative="1">
      <w:start w:val="1"/>
      <w:numFmt w:val="lowerLetter"/>
      <w:lvlText w:val="%5."/>
      <w:lvlJc w:val="left"/>
      <w:pPr>
        <w:ind w:left="3949" w:hanging="360"/>
      </w:pPr>
    </w:lvl>
    <w:lvl w:ilvl="5" w:tplc="0413001B" w:tentative="1">
      <w:start w:val="1"/>
      <w:numFmt w:val="lowerRoman"/>
      <w:lvlText w:val="%6."/>
      <w:lvlJc w:val="right"/>
      <w:pPr>
        <w:ind w:left="4669" w:hanging="180"/>
      </w:pPr>
    </w:lvl>
    <w:lvl w:ilvl="6" w:tplc="0413000F" w:tentative="1">
      <w:start w:val="1"/>
      <w:numFmt w:val="decimal"/>
      <w:lvlText w:val="%7."/>
      <w:lvlJc w:val="left"/>
      <w:pPr>
        <w:ind w:left="5389" w:hanging="360"/>
      </w:pPr>
    </w:lvl>
    <w:lvl w:ilvl="7" w:tplc="04130019" w:tentative="1">
      <w:start w:val="1"/>
      <w:numFmt w:val="lowerLetter"/>
      <w:lvlText w:val="%8."/>
      <w:lvlJc w:val="left"/>
      <w:pPr>
        <w:ind w:left="6109" w:hanging="360"/>
      </w:pPr>
    </w:lvl>
    <w:lvl w:ilvl="8" w:tplc="0413001B" w:tentative="1">
      <w:start w:val="1"/>
      <w:numFmt w:val="lowerRoman"/>
      <w:lvlText w:val="%9."/>
      <w:lvlJc w:val="right"/>
      <w:pPr>
        <w:ind w:left="6829" w:hanging="180"/>
      </w:pPr>
    </w:lvl>
  </w:abstractNum>
  <w:num w:numId="1" w16cid:durableId="782189500">
    <w:abstractNumId w:val="7"/>
  </w:num>
  <w:num w:numId="2" w16cid:durableId="104277141">
    <w:abstractNumId w:val="5"/>
  </w:num>
  <w:num w:numId="3" w16cid:durableId="2037346317">
    <w:abstractNumId w:val="11"/>
  </w:num>
  <w:num w:numId="4" w16cid:durableId="1206602690">
    <w:abstractNumId w:val="2"/>
  </w:num>
  <w:num w:numId="5" w16cid:durableId="853419595">
    <w:abstractNumId w:val="1"/>
  </w:num>
  <w:num w:numId="6" w16cid:durableId="90786768">
    <w:abstractNumId w:val="4"/>
  </w:num>
  <w:num w:numId="7" w16cid:durableId="839737575">
    <w:abstractNumId w:val="8"/>
  </w:num>
  <w:num w:numId="8" w16cid:durableId="1790929813">
    <w:abstractNumId w:val="0"/>
  </w:num>
  <w:num w:numId="9" w16cid:durableId="2145347354">
    <w:abstractNumId w:val="12"/>
  </w:num>
  <w:num w:numId="10" w16cid:durableId="1896039743">
    <w:abstractNumId w:val="3"/>
  </w:num>
  <w:num w:numId="11" w16cid:durableId="83693449">
    <w:abstractNumId w:val="6"/>
  </w:num>
  <w:num w:numId="12" w16cid:durableId="741416116">
    <w:abstractNumId w:val="9"/>
  </w:num>
  <w:num w:numId="13" w16cid:durableId="141462632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4C10"/>
    <w:rsid w:val="0000187D"/>
    <w:rsid w:val="00013CDB"/>
    <w:rsid w:val="00015655"/>
    <w:rsid w:val="00017B43"/>
    <w:rsid w:val="00020E1A"/>
    <w:rsid w:val="000320B2"/>
    <w:rsid w:val="00035827"/>
    <w:rsid w:val="00041A42"/>
    <w:rsid w:val="00045644"/>
    <w:rsid w:val="000503D2"/>
    <w:rsid w:val="000560FB"/>
    <w:rsid w:val="00066204"/>
    <w:rsid w:val="000B09B9"/>
    <w:rsid w:val="000B132E"/>
    <w:rsid w:val="000B2073"/>
    <w:rsid w:val="000B4B63"/>
    <w:rsid w:val="000B510D"/>
    <w:rsid w:val="000C371A"/>
    <w:rsid w:val="000C6DDF"/>
    <w:rsid w:val="000D75BF"/>
    <w:rsid w:val="000F61F1"/>
    <w:rsid w:val="001156E0"/>
    <w:rsid w:val="00117938"/>
    <w:rsid w:val="00117EF6"/>
    <w:rsid w:val="00121CF4"/>
    <w:rsid w:val="00124E94"/>
    <w:rsid w:val="00133C84"/>
    <w:rsid w:val="001358B8"/>
    <w:rsid w:val="001363CB"/>
    <w:rsid w:val="001365BE"/>
    <w:rsid w:val="001375DA"/>
    <w:rsid w:val="0014307E"/>
    <w:rsid w:val="00147C9B"/>
    <w:rsid w:val="0015329A"/>
    <w:rsid w:val="0016140C"/>
    <w:rsid w:val="00174C9C"/>
    <w:rsid w:val="00175B5D"/>
    <w:rsid w:val="00183A08"/>
    <w:rsid w:val="0019376A"/>
    <w:rsid w:val="00194D09"/>
    <w:rsid w:val="001A39B8"/>
    <w:rsid w:val="001B0B8C"/>
    <w:rsid w:val="001B15A6"/>
    <w:rsid w:val="001B3836"/>
    <w:rsid w:val="001C00F9"/>
    <w:rsid w:val="001C5557"/>
    <w:rsid w:val="001C5CE4"/>
    <w:rsid w:val="001C7FD3"/>
    <w:rsid w:val="001D6B7B"/>
    <w:rsid w:val="002007E8"/>
    <w:rsid w:val="00210D80"/>
    <w:rsid w:val="00213F52"/>
    <w:rsid w:val="00230B10"/>
    <w:rsid w:val="002333F9"/>
    <w:rsid w:val="00242995"/>
    <w:rsid w:val="002469AD"/>
    <w:rsid w:val="00247324"/>
    <w:rsid w:val="0026568A"/>
    <w:rsid w:val="002715C6"/>
    <w:rsid w:val="00273715"/>
    <w:rsid w:val="002747F2"/>
    <w:rsid w:val="00281DB5"/>
    <w:rsid w:val="002A5033"/>
    <w:rsid w:val="002B1DF1"/>
    <w:rsid w:val="002B2523"/>
    <w:rsid w:val="002B50D3"/>
    <w:rsid w:val="002D1AA3"/>
    <w:rsid w:val="002D2FFF"/>
    <w:rsid w:val="002D35F4"/>
    <w:rsid w:val="002D4399"/>
    <w:rsid w:val="002D591F"/>
    <w:rsid w:val="002D67A9"/>
    <w:rsid w:val="002E65CF"/>
    <w:rsid w:val="002F79B3"/>
    <w:rsid w:val="0030016C"/>
    <w:rsid w:val="00301D93"/>
    <w:rsid w:val="00305DAC"/>
    <w:rsid w:val="003130DA"/>
    <w:rsid w:val="00314EC2"/>
    <w:rsid w:val="00315998"/>
    <w:rsid w:val="00316648"/>
    <w:rsid w:val="00320E94"/>
    <w:rsid w:val="00350762"/>
    <w:rsid w:val="00355461"/>
    <w:rsid w:val="00357338"/>
    <w:rsid w:val="00360B17"/>
    <w:rsid w:val="00361AF8"/>
    <w:rsid w:val="003871A7"/>
    <w:rsid w:val="00395069"/>
    <w:rsid w:val="0039582E"/>
    <w:rsid w:val="003A19BF"/>
    <w:rsid w:val="003A1ADA"/>
    <w:rsid w:val="003A20F3"/>
    <w:rsid w:val="003A2ECC"/>
    <w:rsid w:val="003C43F6"/>
    <w:rsid w:val="003D3E08"/>
    <w:rsid w:val="003E3246"/>
    <w:rsid w:val="003E44EA"/>
    <w:rsid w:val="003E79FC"/>
    <w:rsid w:val="003F7375"/>
    <w:rsid w:val="00401CA2"/>
    <w:rsid w:val="00407A28"/>
    <w:rsid w:val="00407DB6"/>
    <w:rsid w:val="0041451D"/>
    <w:rsid w:val="0041738F"/>
    <w:rsid w:val="0043312F"/>
    <w:rsid w:val="00445696"/>
    <w:rsid w:val="004530B7"/>
    <w:rsid w:val="00466E3F"/>
    <w:rsid w:val="00483EB2"/>
    <w:rsid w:val="004902D0"/>
    <w:rsid w:val="00491C7F"/>
    <w:rsid w:val="004A19B6"/>
    <w:rsid w:val="004A3564"/>
    <w:rsid w:val="004A6B38"/>
    <w:rsid w:val="004B2893"/>
    <w:rsid w:val="004B52F4"/>
    <w:rsid w:val="004C5962"/>
    <w:rsid w:val="004E2DEB"/>
    <w:rsid w:val="004E7CCD"/>
    <w:rsid w:val="004F0485"/>
    <w:rsid w:val="004F5191"/>
    <w:rsid w:val="004F5D5E"/>
    <w:rsid w:val="004F6AF1"/>
    <w:rsid w:val="00502AA1"/>
    <w:rsid w:val="005052E9"/>
    <w:rsid w:val="00507F4D"/>
    <w:rsid w:val="00513BAB"/>
    <w:rsid w:val="0052054E"/>
    <w:rsid w:val="00523006"/>
    <w:rsid w:val="00523D9B"/>
    <w:rsid w:val="00525C8B"/>
    <w:rsid w:val="00525EF5"/>
    <w:rsid w:val="005337D6"/>
    <w:rsid w:val="00536187"/>
    <w:rsid w:val="0055457B"/>
    <w:rsid w:val="00563101"/>
    <w:rsid w:val="00566857"/>
    <w:rsid w:val="00567508"/>
    <w:rsid w:val="005738C7"/>
    <w:rsid w:val="00575CDD"/>
    <w:rsid w:val="00576960"/>
    <w:rsid w:val="00577C9B"/>
    <w:rsid w:val="00594A2C"/>
    <w:rsid w:val="005A74F9"/>
    <w:rsid w:val="005A7A31"/>
    <w:rsid w:val="005B0F5D"/>
    <w:rsid w:val="005B3684"/>
    <w:rsid w:val="005B4D69"/>
    <w:rsid w:val="005C2562"/>
    <w:rsid w:val="005C490B"/>
    <w:rsid w:val="005D428D"/>
    <w:rsid w:val="005D7C7D"/>
    <w:rsid w:val="005E0D9A"/>
    <w:rsid w:val="005E410B"/>
    <w:rsid w:val="005E5DDE"/>
    <w:rsid w:val="005E7289"/>
    <w:rsid w:val="005F2BAF"/>
    <w:rsid w:val="005F63BA"/>
    <w:rsid w:val="005F7362"/>
    <w:rsid w:val="00611D15"/>
    <w:rsid w:val="00612FB8"/>
    <w:rsid w:val="00623F54"/>
    <w:rsid w:val="00624AA8"/>
    <w:rsid w:val="00631320"/>
    <w:rsid w:val="006335F1"/>
    <w:rsid w:val="006375EB"/>
    <w:rsid w:val="006379AD"/>
    <w:rsid w:val="00640614"/>
    <w:rsid w:val="0065785F"/>
    <w:rsid w:val="006635C5"/>
    <w:rsid w:val="00690C43"/>
    <w:rsid w:val="00694CF7"/>
    <w:rsid w:val="0069574A"/>
    <w:rsid w:val="006B156E"/>
    <w:rsid w:val="006C77A0"/>
    <w:rsid w:val="006D40BA"/>
    <w:rsid w:val="006D63AF"/>
    <w:rsid w:val="006D7290"/>
    <w:rsid w:val="006E0C6E"/>
    <w:rsid w:val="006E2199"/>
    <w:rsid w:val="006E77A4"/>
    <w:rsid w:val="006F5D74"/>
    <w:rsid w:val="00701132"/>
    <w:rsid w:val="00716F56"/>
    <w:rsid w:val="00726712"/>
    <w:rsid w:val="00726E96"/>
    <w:rsid w:val="00727A19"/>
    <w:rsid w:val="0074606D"/>
    <w:rsid w:val="007470EE"/>
    <w:rsid w:val="00747DC3"/>
    <w:rsid w:val="00757A7C"/>
    <w:rsid w:val="007643FD"/>
    <w:rsid w:val="007832DB"/>
    <w:rsid w:val="00792F75"/>
    <w:rsid w:val="007973E5"/>
    <w:rsid w:val="007A6C06"/>
    <w:rsid w:val="007A757A"/>
    <w:rsid w:val="007B00BA"/>
    <w:rsid w:val="007B5C56"/>
    <w:rsid w:val="007B60E8"/>
    <w:rsid w:val="007B68C4"/>
    <w:rsid w:val="007C3DD9"/>
    <w:rsid w:val="007C40E0"/>
    <w:rsid w:val="007C4C10"/>
    <w:rsid w:val="007C5039"/>
    <w:rsid w:val="007D7D7E"/>
    <w:rsid w:val="007F30E9"/>
    <w:rsid w:val="007F5F1E"/>
    <w:rsid w:val="007F72F7"/>
    <w:rsid w:val="00806B3C"/>
    <w:rsid w:val="00814144"/>
    <w:rsid w:val="008152D5"/>
    <w:rsid w:val="00817417"/>
    <w:rsid w:val="008270E2"/>
    <w:rsid w:val="00827ACC"/>
    <w:rsid w:val="008302E4"/>
    <w:rsid w:val="00847DA2"/>
    <w:rsid w:val="00850F10"/>
    <w:rsid w:val="00854D48"/>
    <w:rsid w:val="00854EC6"/>
    <w:rsid w:val="00855E99"/>
    <w:rsid w:val="00861D95"/>
    <w:rsid w:val="008775A6"/>
    <w:rsid w:val="00883105"/>
    <w:rsid w:val="00883A86"/>
    <w:rsid w:val="00896D09"/>
    <w:rsid w:val="008A0D6B"/>
    <w:rsid w:val="008A3CB9"/>
    <w:rsid w:val="008A4956"/>
    <w:rsid w:val="008A4DB0"/>
    <w:rsid w:val="008C55A4"/>
    <w:rsid w:val="008C7DCB"/>
    <w:rsid w:val="008D4942"/>
    <w:rsid w:val="008E075A"/>
    <w:rsid w:val="008F3C7B"/>
    <w:rsid w:val="008F5F27"/>
    <w:rsid w:val="008F7D6D"/>
    <w:rsid w:val="00913FBB"/>
    <w:rsid w:val="00924647"/>
    <w:rsid w:val="009352D3"/>
    <w:rsid w:val="00935FE3"/>
    <w:rsid w:val="009369DE"/>
    <w:rsid w:val="00937B44"/>
    <w:rsid w:val="009408AE"/>
    <w:rsid w:val="00953D82"/>
    <w:rsid w:val="009558F7"/>
    <w:rsid w:val="00955BB2"/>
    <w:rsid w:val="009649DB"/>
    <w:rsid w:val="0096783D"/>
    <w:rsid w:val="009730F3"/>
    <w:rsid w:val="00973B6F"/>
    <w:rsid w:val="009760EB"/>
    <w:rsid w:val="009B5123"/>
    <w:rsid w:val="009E2D5A"/>
    <w:rsid w:val="009E36C5"/>
    <w:rsid w:val="009E7713"/>
    <w:rsid w:val="009F0341"/>
    <w:rsid w:val="009F5B66"/>
    <w:rsid w:val="00A14F65"/>
    <w:rsid w:val="00A21359"/>
    <w:rsid w:val="00A238E8"/>
    <w:rsid w:val="00A24C09"/>
    <w:rsid w:val="00A3064F"/>
    <w:rsid w:val="00A41D3A"/>
    <w:rsid w:val="00A45BF6"/>
    <w:rsid w:val="00A47852"/>
    <w:rsid w:val="00A56AAB"/>
    <w:rsid w:val="00A6750F"/>
    <w:rsid w:val="00A70EB4"/>
    <w:rsid w:val="00A751FB"/>
    <w:rsid w:val="00A931C9"/>
    <w:rsid w:val="00A937A2"/>
    <w:rsid w:val="00A94185"/>
    <w:rsid w:val="00A94931"/>
    <w:rsid w:val="00AB4524"/>
    <w:rsid w:val="00AE46EE"/>
    <w:rsid w:val="00AE64B5"/>
    <w:rsid w:val="00AF0E7D"/>
    <w:rsid w:val="00AF47E1"/>
    <w:rsid w:val="00B02669"/>
    <w:rsid w:val="00B12340"/>
    <w:rsid w:val="00B15B88"/>
    <w:rsid w:val="00B177DF"/>
    <w:rsid w:val="00B412A4"/>
    <w:rsid w:val="00B52E7D"/>
    <w:rsid w:val="00B60FF6"/>
    <w:rsid w:val="00B66BF0"/>
    <w:rsid w:val="00B724F0"/>
    <w:rsid w:val="00B811AE"/>
    <w:rsid w:val="00B81518"/>
    <w:rsid w:val="00B85505"/>
    <w:rsid w:val="00B860CA"/>
    <w:rsid w:val="00B96C8B"/>
    <w:rsid w:val="00BA22EE"/>
    <w:rsid w:val="00BC3C54"/>
    <w:rsid w:val="00BC47B4"/>
    <w:rsid w:val="00BD2C1F"/>
    <w:rsid w:val="00BD39EB"/>
    <w:rsid w:val="00BD6188"/>
    <w:rsid w:val="00BE4D4A"/>
    <w:rsid w:val="00BE65C2"/>
    <w:rsid w:val="00C2012D"/>
    <w:rsid w:val="00C573CF"/>
    <w:rsid w:val="00C643FC"/>
    <w:rsid w:val="00C66B1C"/>
    <w:rsid w:val="00C756B9"/>
    <w:rsid w:val="00CB653F"/>
    <w:rsid w:val="00CB70CB"/>
    <w:rsid w:val="00CB716A"/>
    <w:rsid w:val="00CD512C"/>
    <w:rsid w:val="00CD5727"/>
    <w:rsid w:val="00CD6958"/>
    <w:rsid w:val="00CD73B1"/>
    <w:rsid w:val="00CE101F"/>
    <w:rsid w:val="00CE203B"/>
    <w:rsid w:val="00CE6FB0"/>
    <w:rsid w:val="00CF112E"/>
    <w:rsid w:val="00CF11CB"/>
    <w:rsid w:val="00D1021A"/>
    <w:rsid w:val="00D125B0"/>
    <w:rsid w:val="00D1348F"/>
    <w:rsid w:val="00D15A26"/>
    <w:rsid w:val="00D167C5"/>
    <w:rsid w:val="00D17771"/>
    <w:rsid w:val="00D20D8C"/>
    <w:rsid w:val="00D23EE1"/>
    <w:rsid w:val="00D244C4"/>
    <w:rsid w:val="00D31000"/>
    <w:rsid w:val="00D40630"/>
    <w:rsid w:val="00D43757"/>
    <w:rsid w:val="00D55DF6"/>
    <w:rsid w:val="00D6741D"/>
    <w:rsid w:val="00D67EFA"/>
    <w:rsid w:val="00D74386"/>
    <w:rsid w:val="00D7502A"/>
    <w:rsid w:val="00D8444C"/>
    <w:rsid w:val="00D85C23"/>
    <w:rsid w:val="00D913B1"/>
    <w:rsid w:val="00D92ABB"/>
    <w:rsid w:val="00D93B9E"/>
    <w:rsid w:val="00D94C5D"/>
    <w:rsid w:val="00D955E3"/>
    <w:rsid w:val="00DA1B34"/>
    <w:rsid w:val="00DA7A8D"/>
    <w:rsid w:val="00DB0EBB"/>
    <w:rsid w:val="00DC1711"/>
    <w:rsid w:val="00DC66BA"/>
    <w:rsid w:val="00DD71B3"/>
    <w:rsid w:val="00DE12C1"/>
    <w:rsid w:val="00DE3DC6"/>
    <w:rsid w:val="00DF44F6"/>
    <w:rsid w:val="00DF6BCD"/>
    <w:rsid w:val="00E03A55"/>
    <w:rsid w:val="00E03D35"/>
    <w:rsid w:val="00E06117"/>
    <w:rsid w:val="00E13450"/>
    <w:rsid w:val="00E2495B"/>
    <w:rsid w:val="00E30964"/>
    <w:rsid w:val="00E30FFD"/>
    <w:rsid w:val="00E324A0"/>
    <w:rsid w:val="00E44230"/>
    <w:rsid w:val="00E47297"/>
    <w:rsid w:val="00E47959"/>
    <w:rsid w:val="00E52746"/>
    <w:rsid w:val="00E6367A"/>
    <w:rsid w:val="00E6511C"/>
    <w:rsid w:val="00E717BC"/>
    <w:rsid w:val="00E72303"/>
    <w:rsid w:val="00E725FA"/>
    <w:rsid w:val="00E74AE4"/>
    <w:rsid w:val="00E85813"/>
    <w:rsid w:val="00E87EF0"/>
    <w:rsid w:val="00E91BE6"/>
    <w:rsid w:val="00E96FDB"/>
    <w:rsid w:val="00EB0B3D"/>
    <w:rsid w:val="00EB7682"/>
    <w:rsid w:val="00EC068D"/>
    <w:rsid w:val="00EC171A"/>
    <w:rsid w:val="00EE584E"/>
    <w:rsid w:val="00EE7625"/>
    <w:rsid w:val="00EF2683"/>
    <w:rsid w:val="00EF5434"/>
    <w:rsid w:val="00F011A0"/>
    <w:rsid w:val="00F1108A"/>
    <w:rsid w:val="00F12868"/>
    <w:rsid w:val="00F4485D"/>
    <w:rsid w:val="00F45EBB"/>
    <w:rsid w:val="00F463B8"/>
    <w:rsid w:val="00F46704"/>
    <w:rsid w:val="00F519B5"/>
    <w:rsid w:val="00F57152"/>
    <w:rsid w:val="00F62791"/>
    <w:rsid w:val="00F66F9B"/>
    <w:rsid w:val="00F72507"/>
    <w:rsid w:val="00F767DD"/>
    <w:rsid w:val="00F81088"/>
    <w:rsid w:val="00F823EB"/>
    <w:rsid w:val="00F870D3"/>
    <w:rsid w:val="00F91996"/>
    <w:rsid w:val="00F91A9D"/>
    <w:rsid w:val="00F994C6"/>
    <w:rsid w:val="00FA196F"/>
    <w:rsid w:val="00FA3EC0"/>
    <w:rsid w:val="00FA7A56"/>
    <w:rsid w:val="00FA7F0B"/>
    <w:rsid w:val="00FB50CD"/>
    <w:rsid w:val="00FB6BB8"/>
    <w:rsid w:val="00FC3F9D"/>
    <w:rsid w:val="00FD0073"/>
    <w:rsid w:val="00FE7569"/>
    <w:rsid w:val="00FF4FE0"/>
    <w:rsid w:val="06461220"/>
    <w:rsid w:val="07092631"/>
    <w:rsid w:val="0DF890F9"/>
    <w:rsid w:val="146A44B1"/>
    <w:rsid w:val="17CA18D6"/>
    <w:rsid w:val="1AF4CFFF"/>
    <w:rsid w:val="1EF8EFD4"/>
    <w:rsid w:val="203F0A97"/>
    <w:rsid w:val="20AE2C54"/>
    <w:rsid w:val="224892F6"/>
    <w:rsid w:val="2290AE7E"/>
    <w:rsid w:val="26B91D8D"/>
    <w:rsid w:val="2810D85B"/>
    <w:rsid w:val="2D5E22FA"/>
    <w:rsid w:val="3A1B1123"/>
    <w:rsid w:val="3BD17AB1"/>
    <w:rsid w:val="3C633BC3"/>
    <w:rsid w:val="42B3128E"/>
    <w:rsid w:val="4488A428"/>
    <w:rsid w:val="463D61A1"/>
    <w:rsid w:val="4B6795A4"/>
    <w:rsid w:val="4E481323"/>
    <w:rsid w:val="528E7BF3"/>
    <w:rsid w:val="58666227"/>
    <w:rsid w:val="5A440D2F"/>
    <w:rsid w:val="5C00605D"/>
    <w:rsid w:val="5C884EF9"/>
    <w:rsid w:val="5DDB701D"/>
    <w:rsid w:val="69F2306E"/>
    <w:rsid w:val="6B9E6BF9"/>
    <w:rsid w:val="6CB6E782"/>
    <w:rsid w:val="7446465C"/>
    <w:rsid w:val="772C89B3"/>
    <w:rsid w:val="7C685FB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8BAE96"/>
  <w15:chartTrackingRefBased/>
  <w15:docId w15:val="{4DB4316C-DC7C-4BB9-8D1E-62594DC604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next w:val="Standaard"/>
    <w:link w:val="Kop1Char"/>
    <w:uiPriority w:val="9"/>
    <w:qFormat/>
    <w:rsid w:val="007C4C1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Kop2">
    <w:name w:val="heading 2"/>
    <w:basedOn w:val="Standaard"/>
    <w:next w:val="Standaard"/>
    <w:link w:val="Kop2Char"/>
    <w:uiPriority w:val="9"/>
    <w:semiHidden/>
    <w:unhideWhenUsed/>
    <w:qFormat/>
    <w:rsid w:val="007C4C1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Kop3">
    <w:name w:val="heading 3"/>
    <w:basedOn w:val="Standaard"/>
    <w:next w:val="Standaard"/>
    <w:link w:val="Kop3Char"/>
    <w:uiPriority w:val="9"/>
    <w:semiHidden/>
    <w:unhideWhenUsed/>
    <w:qFormat/>
    <w:rsid w:val="007C4C10"/>
    <w:pPr>
      <w:keepNext/>
      <w:keepLines/>
      <w:spacing w:before="160" w:after="80"/>
      <w:outlineLvl w:val="2"/>
    </w:pPr>
    <w:rPr>
      <w:rFonts w:eastAsiaTheme="majorEastAsia" w:cstheme="majorBidi"/>
      <w:color w:val="0F4761" w:themeColor="accent1" w:themeShade="BF"/>
      <w:sz w:val="28"/>
      <w:szCs w:val="28"/>
    </w:rPr>
  </w:style>
  <w:style w:type="paragraph" w:styleId="Kop4">
    <w:name w:val="heading 4"/>
    <w:basedOn w:val="Standaard"/>
    <w:next w:val="Standaard"/>
    <w:link w:val="Kop4Char"/>
    <w:uiPriority w:val="9"/>
    <w:semiHidden/>
    <w:unhideWhenUsed/>
    <w:qFormat/>
    <w:rsid w:val="007C4C10"/>
    <w:pPr>
      <w:keepNext/>
      <w:keepLines/>
      <w:spacing w:before="80" w:after="40"/>
      <w:outlineLvl w:val="3"/>
    </w:pPr>
    <w:rPr>
      <w:rFonts w:eastAsiaTheme="majorEastAsia" w:cstheme="majorBidi"/>
      <w:i/>
      <w:iCs/>
      <w:color w:val="0F4761" w:themeColor="accent1" w:themeShade="BF"/>
    </w:rPr>
  </w:style>
  <w:style w:type="paragraph" w:styleId="Kop5">
    <w:name w:val="heading 5"/>
    <w:basedOn w:val="Standaard"/>
    <w:next w:val="Standaard"/>
    <w:link w:val="Kop5Char"/>
    <w:uiPriority w:val="9"/>
    <w:semiHidden/>
    <w:unhideWhenUsed/>
    <w:qFormat/>
    <w:rsid w:val="007C4C10"/>
    <w:pPr>
      <w:keepNext/>
      <w:keepLines/>
      <w:spacing w:before="80" w:after="40"/>
      <w:outlineLvl w:val="4"/>
    </w:pPr>
    <w:rPr>
      <w:rFonts w:eastAsiaTheme="majorEastAsia" w:cstheme="majorBidi"/>
      <w:color w:val="0F4761" w:themeColor="accent1" w:themeShade="BF"/>
    </w:rPr>
  </w:style>
  <w:style w:type="paragraph" w:styleId="Kop6">
    <w:name w:val="heading 6"/>
    <w:basedOn w:val="Standaard"/>
    <w:next w:val="Standaard"/>
    <w:link w:val="Kop6Char"/>
    <w:uiPriority w:val="9"/>
    <w:semiHidden/>
    <w:unhideWhenUsed/>
    <w:qFormat/>
    <w:rsid w:val="007C4C10"/>
    <w:pPr>
      <w:keepNext/>
      <w:keepLines/>
      <w:spacing w:before="40" w:after="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7C4C10"/>
    <w:pPr>
      <w:keepNext/>
      <w:keepLines/>
      <w:spacing w:before="40" w:after="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7C4C10"/>
    <w:pPr>
      <w:keepNext/>
      <w:keepLines/>
      <w:spacing w:after="0"/>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7C4C10"/>
    <w:pPr>
      <w:keepNext/>
      <w:keepLines/>
      <w:spacing w:after="0"/>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7C4C10"/>
    <w:rPr>
      <w:rFonts w:asciiTheme="majorHAnsi" w:eastAsiaTheme="majorEastAsia" w:hAnsiTheme="majorHAnsi" w:cstheme="majorBidi"/>
      <w:color w:val="0F4761" w:themeColor="accent1" w:themeShade="BF"/>
      <w:sz w:val="40"/>
      <w:szCs w:val="40"/>
    </w:rPr>
  </w:style>
  <w:style w:type="character" w:customStyle="1" w:styleId="Kop2Char">
    <w:name w:val="Kop 2 Char"/>
    <w:basedOn w:val="Standaardalinea-lettertype"/>
    <w:link w:val="Kop2"/>
    <w:uiPriority w:val="9"/>
    <w:semiHidden/>
    <w:rsid w:val="007C4C10"/>
    <w:rPr>
      <w:rFonts w:asciiTheme="majorHAnsi" w:eastAsiaTheme="majorEastAsia" w:hAnsiTheme="majorHAnsi" w:cstheme="majorBidi"/>
      <w:color w:val="0F4761" w:themeColor="accent1" w:themeShade="BF"/>
      <w:sz w:val="32"/>
      <w:szCs w:val="32"/>
    </w:rPr>
  </w:style>
  <w:style w:type="character" w:customStyle="1" w:styleId="Kop3Char">
    <w:name w:val="Kop 3 Char"/>
    <w:basedOn w:val="Standaardalinea-lettertype"/>
    <w:link w:val="Kop3"/>
    <w:uiPriority w:val="9"/>
    <w:semiHidden/>
    <w:rsid w:val="007C4C10"/>
    <w:rPr>
      <w:rFonts w:eastAsiaTheme="majorEastAsia" w:cstheme="majorBidi"/>
      <w:color w:val="0F4761" w:themeColor="accent1" w:themeShade="BF"/>
      <w:sz w:val="28"/>
      <w:szCs w:val="28"/>
    </w:rPr>
  </w:style>
  <w:style w:type="character" w:customStyle="1" w:styleId="Kop4Char">
    <w:name w:val="Kop 4 Char"/>
    <w:basedOn w:val="Standaardalinea-lettertype"/>
    <w:link w:val="Kop4"/>
    <w:uiPriority w:val="9"/>
    <w:semiHidden/>
    <w:rsid w:val="007C4C10"/>
    <w:rPr>
      <w:rFonts w:eastAsiaTheme="majorEastAsia" w:cstheme="majorBidi"/>
      <w:i/>
      <w:iCs/>
      <w:color w:val="0F4761" w:themeColor="accent1" w:themeShade="BF"/>
    </w:rPr>
  </w:style>
  <w:style w:type="character" w:customStyle="1" w:styleId="Kop5Char">
    <w:name w:val="Kop 5 Char"/>
    <w:basedOn w:val="Standaardalinea-lettertype"/>
    <w:link w:val="Kop5"/>
    <w:uiPriority w:val="9"/>
    <w:semiHidden/>
    <w:rsid w:val="007C4C10"/>
    <w:rPr>
      <w:rFonts w:eastAsiaTheme="majorEastAsia" w:cstheme="majorBidi"/>
      <w:color w:val="0F4761" w:themeColor="accent1" w:themeShade="BF"/>
    </w:rPr>
  </w:style>
  <w:style w:type="character" w:customStyle="1" w:styleId="Kop6Char">
    <w:name w:val="Kop 6 Char"/>
    <w:basedOn w:val="Standaardalinea-lettertype"/>
    <w:link w:val="Kop6"/>
    <w:uiPriority w:val="9"/>
    <w:semiHidden/>
    <w:rsid w:val="007C4C10"/>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7C4C10"/>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7C4C10"/>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7C4C10"/>
    <w:rPr>
      <w:rFonts w:eastAsiaTheme="majorEastAsia" w:cstheme="majorBidi"/>
      <w:color w:val="272727" w:themeColor="text1" w:themeTint="D8"/>
    </w:rPr>
  </w:style>
  <w:style w:type="paragraph" w:styleId="Titel">
    <w:name w:val="Title"/>
    <w:basedOn w:val="Standaard"/>
    <w:next w:val="Standaard"/>
    <w:link w:val="TitelChar"/>
    <w:uiPriority w:val="10"/>
    <w:qFormat/>
    <w:rsid w:val="007C4C1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7C4C10"/>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7C4C10"/>
    <w:pPr>
      <w:numPr>
        <w:ilvl w:val="1"/>
      </w:numPr>
    </w:pPr>
    <w:rPr>
      <w:rFonts w:eastAsiaTheme="majorEastAsia"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7C4C10"/>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7C4C10"/>
    <w:pPr>
      <w:spacing w:before="160"/>
      <w:jc w:val="center"/>
    </w:pPr>
    <w:rPr>
      <w:i/>
      <w:iCs/>
      <w:color w:val="404040" w:themeColor="text1" w:themeTint="BF"/>
    </w:rPr>
  </w:style>
  <w:style w:type="character" w:customStyle="1" w:styleId="CitaatChar">
    <w:name w:val="Citaat Char"/>
    <w:basedOn w:val="Standaardalinea-lettertype"/>
    <w:link w:val="Citaat"/>
    <w:uiPriority w:val="29"/>
    <w:rsid w:val="007C4C10"/>
    <w:rPr>
      <w:i/>
      <w:iCs/>
      <w:color w:val="404040" w:themeColor="text1" w:themeTint="BF"/>
    </w:rPr>
  </w:style>
  <w:style w:type="paragraph" w:styleId="Lijstalinea">
    <w:name w:val="List Paragraph"/>
    <w:basedOn w:val="Standaard"/>
    <w:link w:val="LijstalineaChar"/>
    <w:uiPriority w:val="34"/>
    <w:qFormat/>
    <w:rsid w:val="007C4C10"/>
    <w:pPr>
      <w:ind w:left="720"/>
      <w:contextualSpacing/>
    </w:pPr>
  </w:style>
  <w:style w:type="character" w:styleId="Intensievebenadrukking">
    <w:name w:val="Intense Emphasis"/>
    <w:basedOn w:val="Standaardalinea-lettertype"/>
    <w:uiPriority w:val="21"/>
    <w:qFormat/>
    <w:rsid w:val="007C4C10"/>
    <w:rPr>
      <w:i/>
      <w:iCs/>
      <w:color w:val="0F4761" w:themeColor="accent1" w:themeShade="BF"/>
    </w:rPr>
  </w:style>
  <w:style w:type="paragraph" w:styleId="Duidelijkcitaat">
    <w:name w:val="Intense Quote"/>
    <w:basedOn w:val="Standaard"/>
    <w:next w:val="Standaard"/>
    <w:link w:val="DuidelijkcitaatChar"/>
    <w:uiPriority w:val="30"/>
    <w:qFormat/>
    <w:rsid w:val="007C4C1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DuidelijkcitaatChar">
    <w:name w:val="Duidelijk citaat Char"/>
    <w:basedOn w:val="Standaardalinea-lettertype"/>
    <w:link w:val="Duidelijkcitaat"/>
    <w:uiPriority w:val="30"/>
    <w:rsid w:val="007C4C10"/>
    <w:rPr>
      <w:i/>
      <w:iCs/>
      <w:color w:val="0F4761" w:themeColor="accent1" w:themeShade="BF"/>
    </w:rPr>
  </w:style>
  <w:style w:type="character" w:styleId="Intensieveverwijzing">
    <w:name w:val="Intense Reference"/>
    <w:basedOn w:val="Standaardalinea-lettertype"/>
    <w:uiPriority w:val="32"/>
    <w:qFormat/>
    <w:rsid w:val="007C4C10"/>
    <w:rPr>
      <w:b/>
      <w:bCs/>
      <w:smallCaps/>
      <w:color w:val="0F4761" w:themeColor="accent1" w:themeShade="BF"/>
      <w:spacing w:val="5"/>
    </w:rPr>
  </w:style>
  <w:style w:type="character" w:customStyle="1" w:styleId="LijstalineaChar">
    <w:name w:val="Lijstalinea Char"/>
    <w:basedOn w:val="Standaardalinea-lettertype"/>
    <w:link w:val="Lijstalinea"/>
    <w:uiPriority w:val="34"/>
    <w:locked/>
    <w:rsid w:val="000C371A"/>
  </w:style>
  <w:style w:type="paragraph" w:styleId="Revisie">
    <w:name w:val="Revision"/>
    <w:hidden/>
    <w:uiPriority w:val="99"/>
    <w:semiHidden/>
    <w:rsid w:val="00A94185"/>
    <w:pPr>
      <w:spacing w:after="0" w:line="240" w:lineRule="auto"/>
    </w:pPr>
  </w:style>
  <w:style w:type="character" w:styleId="Verwijzingopmerking">
    <w:name w:val="annotation reference"/>
    <w:basedOn w:val="Standaardalinea-lettertype"/>
    <w:uiPriority w:val="99"/>
    <w:semiHidden/>
    <w:unhideWhenUsed/>
    <w:rsid w:val="00507F4D"/>
    <w:rPr>
      <w:sz w:val="16"/>
      <w:szCs w:val="16"/>
    </w:rPr>
  </w:style>
  <w:style w:type="paragraph" w:styleId="Tekstopmerking">
    <w:name w:val="annotation text"/>
    <w:basedOn w:val="Standaard"/>
    <w:link w:val="TekstopmerkingChar"/>
    <w:uiPriority w:val="99"/>
    <w:unhideWhenUsed/>
    <w:rsid w:val="00507F4D"/>
    <w:pPr>
      <w:spacing w:line="240" w:lineRule="auto"/>
    </w:pPr>
    <w:rPr>
      <w:sz w:val="20"/>
      <w:szCs w:val="20"/>
    </w:rPr>
  </w:style>
  <w:style w:type="character" w:customStyle="1" w:styleId="TekstopmerkingChar">
    <w:name w:val="Tekst opmerking Char"/>
    <w:basedOn w:val="Standaardalinea-lettertype"/>
    <w:link w:val="Tekstopmerking"/>
    <w:uiPriority w:val="99"/>
    <w:rsid w:val="00507F4D"/>
    <w:rPr>
      <w:sz w:val="20"/>
      <w:szCs w:val="20"/>
    </w:rPr>
  </w:style>
  <w:style w:type="paragraph" w:styleId="Onderwerpvanopmerking">
    <w:name w:val="annotation subject"/>
    <w:basedOn w:val="Tekstopmerking"/>
    <w:next w:val="Tekstopmerking"/>
    <w:link w:val="OnderwerpvanopmerkingChar"/>
    <w:uiPriority w:val="99"/>
    <w:semiHidden/>
    <w:unhideWhenUsed/>
    <w:rsid w:val="00507F4D"/>
    <w:rPr>
      <w:b/>
      <w:bCs/>
    </w:rPr>
  </w:style>
  <w:style w:type="character" w:customStyle="1" w:styleId="OnderwerpvanopmerkingChar">
    <w:name w:val="Onderwerp van opmerking Char"/>
    <w:basedOn w:val="TekstopmerkingChar"/>
    <w:link w:val="Onderwerpvanopmerking"/>
    <w:uiPriority w:val="99"/>
    <w:semiHidden/>
    <w:rsid w:val="00507F4D"/>
    <w:rPr>
      <w:b/>
      <w:bCs/>
      <w:sz w:val="20"/>
      <w:szCs w:val="20"/>
    </w:rPr>
  </w:style>
  <w:style w:type="paragraph" w:styleId="Koptekst">
    <w:name w:val="header"/>
    <w:basedOn w:val="Standaard"/>
    <w:link w:val="KoptekstChar"/>
    <w:uiPriority w:val="99"/>
    <w:unhideWhenUsed/>
    <w:rsid w:val="00631320"/>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631320"/>
  </w:style>
  <w:style w:type="paragraph" w:styleId="Voettekst">
    <w:name w:val="footer"/>
    <w:basedOn w:val="Standaard"/>
    <w:link w:val="VoettekstChar"/>
    <w:uiPriority w:val="99"/>
    <w:unhideWhenUsed/>
    <w:rsid w:val="00631320"/>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6313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2" Type="http://schemas.openxmlformats.org/officeDocument/2006/relationships/image" Target="cid:image001.png@01D9BEEF.CC24DF50" TargetMode="External"/><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E83786E03581C45827B29F1E77DA2F2" ma:contentTypeVersion="20" ma:contentTypeDescription="Een nieuw document maken." ma:contentTypeScope="" ma:versionID="4912999115a084fe25c4928dd63c8750">
  <xsd:schema xmlns:xsd="http://www.w3.org/2001/XMLSchema" xmlns:xs="http://www.w3.org/2001/XMLSchema" xmlns:p="http://schemas.microsoft.com/office/2006/metadata/properties" xmlns:ns2="8c759bf6-42e2-4be2-8076-ca901ae762be" xmlns:ns3="0aa5b8dd-10c7-4ace-84a3-8edf5dd86461" targetNamespace="http://schemas.microsoft.com/office/2006/metadata/properties" ma:root="true" ma:fieldsID="3619fd30700acfddf1b47d18093eb12e" ns2:_="" ns3:_="">
    <xsd:import namespace="8c759bf6-42e2-4be2-8076-ca901ae762be"/>
    <xsd:import namespace="0aa5b8dd-10c7-4ace-84a3-8edf5dd86461"/>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MediaServiceLocation" minOccurs="0"/>
                <xsd:element ref="ns2:MediaServiceGenerationTime" minOccurs="0"/>
                <xsd:element ref="ns2:MediaServiceEventHashCode" minOccurs="0"/>
                <xsd:element ref="ns3:TaxCatchAll" minOccurs="0"/>
                <xsd:element ref="ns2:lcf76f155ced4ddcb4097134ff3c332f" minOccurs="0"/>
                <xsd:element ref="ns2:MediaServiceOCR" minOccurs="0"/>
                <xsd:element ref="ns3:SharedWithUsers" minOccurs="0"/>
                <xsd:element ref="ns3:SharedWithDetails" minOccurs="0"/>
                <xsd:element ref="ns2:Projectleider" minOccurs="0"/>
                <xsd:element ref="ns2:Status" minOccurs="0"/>
                <xsd:element ref="ns2:Datumentijd"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759bf6-42e2-4be2-8076-ca901ae762b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Location" ma:index="13" nillable="true" ma:displayName="Location" ma:description="" ma:indexed="true"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Afbeeldingtags" ma:readOnly="false" ma:fieldId="{5cf76f15-5ced-4ddc-b409-7134ff3c332f}" ma:taxonomyMulti="true" ma:sspId="d5d20fea-fdae-4f2f-ac66-dc9eff6945b3"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Projectleider" ma:index="22" nillable="true" ma:displayName="Projectleider" ma:list="UserInfo" ma:SharePointGroup="0" ma:internalName="Projectleid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23" nillable="true" ma:displayName="Status" ma:default="n ontwikkeling" ma:format="Dropdown" ma:internalName="Status">
      <xsd:simpleType>
        <xsd:restriction base="dms:Choice">
          <xsd:enumeration value="n ontwikkeling"/>
          <xsd:enumeration value="Actief"/>
          <xsd:enumeration value="Geschorst"/>
          <xsd:enumeration value="Teruggetrokken"/>
        </xsd:restriction>
      </xsd:simpleType>
    </xsd:element>
    <xsd:element name="Datumentijd" ma:index="24" nillable="true" ma:displayName="Datumentijd" ma:format="DateOnly" ma:internalName="Datumentijd">
      <xsd:simpleType>
        <xsd:restriction base="dms:DateTim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aa5b8dd-10c7-4ace-84a3-8edf5dd86461"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b70d6591-0ab7-4ad1-93a7-6d3bab08a52b}" ma:internalName="TaxCatchAll" ma:showField="CatchAllData" ma:web="0aa5b8dd-10c7-4ace-84a3-8edf5dd86461">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rojectleider xmlns="8c759bf6-42e2-4be2-8076-ca901ae762be">
      <UserInfo>
        <DisplayName/>
        <AccountId xsi:nil="true"/>
        <AccountType/>
      </UserInfo>
    </Projectleider>
    <Datumentijd xmlns="8c759bf6-42e2-4be2-8076-ca901ae762be" xsi:nil="true"/>
    <Status xmlns="8c759bf6-42e2-4be2-8076-ca901ae762be">n ontwikkeling</Status>
    <TaxCatchAll xmlns="0aa5b8dd-10c7-4ace-84a3-8edf5dd86461" xsi:nil="true"/>
    <lcf76f155ced4ddcb4097134ff3c332f xmlns="8c759bf6-42e2-4be2-8076-ca901ae762b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AC5806B-7968-4C07-AB5A-8B46891239CC}">
  <ds:schemaRefs>
    <ds:schemaRef ds:uri="http://schemas.microsoft.com/sharepoint/v3/contenttype/forms"/>
  </ds:schemaRefs>
</ds:datastoreItem>
</file>

<file path=customXml/itemProps2.xml><?xml version="1.0" encoding="utf-8"?>
<ds:datastoreItem xmlns:ds="http://schemas.openxmlformats.org/officeDocument/2006/customXml" ds:itemID="{1A72C698-BE1D-4E9C-AEA1-9D805EA96E6C}"/>
</file>

<file path=customXml/itemProps3.xml><?xml version="1.0" encoding="utf-8"?>
<ds:datastoreItem xmlns:ds="http://schemas.openxmlformats.org/officeDocument/2006/customXml" ds:itemID="{AE7E6E69-4265-4238-BD83-B969F6EA9D66}">
  <ds:schemaRefs>
    <ds:schemaRef ds:uri="http://schemas.microsoft.com/office/2006/metadata/properties"/>
    <ds:schemaRef ds:uri="http://schemas.microsoft.com/office/infopath/2007/PartnerControls"/>
    <ds:schemaRef ds:uri="8c759bf6-42e2-4be2-8076-ca901ae762be"/>
    <ds:schemaRef ds:uri="0aa5b8dd-10c7-4ace-84a3-8edf5dd86461"/>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443</Words>
  <Characters>2441</Characters>
  <Application>Microsoft Office Word</Application>
  <DocSecurity>0</DocSecurity>
  <Lines>20</Lines>
  <Paragraphs>5</Paragraphs>
  <ScaleCrop>false</ScaleCrop>
  <Company/>
  <LinksUpToDate>false</LinksUpToDate>
  <CharactersWithSpaces>2879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Ron van der Aa</dc:creator>
  <cp:keywords/>
  <dc:description/>
  <cp:lastModifiedBy>Suzanne van Gennip</cp:lastModifiedBy>
  <cp:revision>24</cp:revision>
  <dcterms:created xsi:type="dcterms:W3CDTF">2025-11-04T08:49:00Z</dcterms:created>
  <dcterms:modified xsi:type="dcterms:W3CDTF">2025-12-11T09:33:00Z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0x0101000E83786E03581C45827B29F1E77DA2F2</vt:lpwstr>
  </property>
  <property fmtid="{D5CDD505-2E9C-101B-9397-08002B2CF9AE}" pid="3" name="MediaServiceImageTags">
    <vt:lpwstr/>
  </property>
</Properties>
</file>